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4001"/>
        <w:gridCol w:w="850"/>
        <w:gridCol w:w="1135"/>
        <w:gridCol w:w="1669"/>
      </w:tblGrid>
      <w:tr w:rsidR="00317F6E" w:rsidRPr="0026257E" w:rsidTr="00132D7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228FC" w:rsidP="003228FC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Performancetest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milepæl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4.X</w:t>
            </w:r>
            <w:r w:rsidR="00317F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7F6E">
              <w:rPr>
                <w:b/>
                <w:sz w:val="20"/>
                <w:szCs w:val="20"/>
                <w:lang w:val="en-US"/>
              </w:rPr>
              <w:t>Kølekompressorer</w:t>
            </w:r>
            <w:proofErr w:type="spellEnd"/>
            <w:r w:rsidR="00317F6E">
              <w:rPr>
                <w:b/>
                <w:sz w:val="20"/>
                <w:szCs w:val="20"/>
                <w:lang w:val="en-US"/>
              </w:rPr>
              <w:t>. COP</w:t>
            </w:r>
          </w:p>
        </w:tc>
      </w:tr>
      <w:tr w:rsidR="00132D7E" w:rsidRPr="003B10EE" w:rsidTr="009101F2">
        <w:trPr>
          <w:trHeight w:val="389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3B10EE" w:rsidRDefault="00132D7E" w:rsidP="009101F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Dato for opdatering af dokument: </w:t>
            </w:r>
            <w:r w:rsidR="009101F2">
              <w:rPr>
                <w:sz w:val="19"/>
                <w:szCs w:val="19"/>
              </w:rPr>
              <w:t>xx.yy.</w:t>
            </w:r>
            <w:r>
              <w:rPr>
                <w:sz w:val="19"/>
                <w:szCs w:val="19"/>
              </w:rPr>
              <w:t>20</w:t>
            </w:r>
            <w:r w:rsidR="009101F2">
              <w:rPr>
                <w:sz w:val="19"/>
                <w:szCs w:val="19"/>
              </w:rPr>
              <w:t>zz</w:t>
            </w:r>
          </w:p>
        </w:tc>
      </w:tr>
      <w:tr w:rsidR="00132D7E" w:rsidRPr="003B10EE" w:rsidTr="009101F2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3B10EE" w:rsidRDefault="00132D7E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Oplysninger om deltagere i test</w:t>
            </w:r>
          </w:p>
          <w:p w:rsidR="00132D7E" w:rsidRPr="003B10EE" w:rsidRDefault="00132D7E" w:rsidP="006A473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3B10EE" w:rsidRDefault="00132D7E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E</w:t>
            </w:r>
            <w:r w:rsidRPr="003B10EE">
              <w:rPr>
                <w:sz w:val="19"/>
                <w:szCs w:val="19"/>
              </w:rPr>
              <w:t>ntrepr</w:t>
            </w:r>
            <w:r>
              <w:rPr>
                <w:sz w:val="19"/>
                <w:szCs w:val="19"/>
              </w:rPr>
              <w:t>enør</w:t>
            </w:r>
            <w:r w:rsidRPr="003B10EE">
              <w:rPr>
                <w:sz w:val="19"/>
                <w:szCs w:val="19"/>
              </w:rPr>
              <w:t xml:space="preserve">: </w:t>
            </w:r>
          </w:p>
          <w:p w:rsidR="00132D7E" w:rsidRPr="003B10EE" w:rsidRDefault="00132D7E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Driftsorganisation:</w:t>
            </w:r>
          </w:p>
          <w:p w:rsidR="00132D7E" w:rsidRPr="003B10EE" w:rsidRDefault="00132D7E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Bygningsstyrelsen:</w:t>
            </w:r>
          </w:p>
          <w:p w:rsidR="00132D7E" w:rsidRPr="003B10EE" w:rsidRDefault="00132D7E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fagtilsyn:</w:t>
            </w:r>
          </w:p>
          <w:p w:rsidR="00132D7E" w:rsidRPr="003B10EE" w:rsidRDefault="00132D7E" w:rsidP="006A473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17F6E" w:rsidTr="009101F2">
        <w:trPr>
          <w:trHeight w:val="389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7F6E" w:rsidRPr="009101F2" w:rsidRDefault="00317F6E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9101F2">
              <w:rPr>
                <w:i/>
                <w:color w:val="000000" w:themeColor="text1"/>
                <w:sz w:val="20"/>
                <w:szCs w:val="20"/>
              </w:rPr>
              <w:t xml:space="preserve">Til </w:t>
            </w:r>
            <w:r w:rsidR="0026257E" w:rsidRPr="009101F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9101F2">
              <w:rPr>
                <w:i/>
                <w:color w:val="000000" w:themeColor="text1"/>
                <w:sz w:val="20"/>
                <w:szCs w:val="20"/>
              </w:rPr>
              <w:t xml:space="preserve">: </w:t>
            </w:r>
            <w:r w:rsidRPr="009101F2">
              <w:rPr>
                <w:i/>
                <w:color w:val="000000" w:themeColor="text1"/>
                <w:sz w:val="20"/>
                <w:szCs w:val="20"/>
              </w:rPr>
              <w:br/>
              <w:t xml:space="preserve">Indskriv </w:t>
            </w:r>
            <w:proofErr w:type="spellStart"/>
            <w:r w:rsidRPr="009101F2">
              <w:rPr>
                <w:i/>
                <w:color w:val="000000" w:themeColor="text1"/>
                <w:sz w:val="20"/>
                <w:szCs w:val="20"/>
              </w:rPr>
              <w:t>anlægsnr</w:t>
            </w:r>
            <w:proofErr w:type="spellEnd"/>
            <w:r w:rsidRPr="009101F2">
              <w:rPr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9101F2">
              <w:rPr>
                <w:i/>
                <w:color w:val="000000" w:themeColor="text1"/>
                <w:sz w:val="20"/>
                <w:szCs w:val="20"/>
              </w:rPr>
              <w:t>i dette felt og kopier denne test for hvert anlæg.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Formål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Testene skal eftervise, at hver enkelt kompressor-unit overholder de i udbudsmaterialet beskrevne COP i forskellige driftstilstande. 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Endvidere er det et formål, at der etableres målepunkter til driftsmæssig overvågning af ændringer i COP.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COP (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Coefficient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Of Performance) er forholdet mellem energiproduktionen og energitilfør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s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len. COP for et køleanlæg beregnes via denne formel: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0"/>
                    <w:szCs w:val="20"/>
                  </w:rPr>
                  <m:t>COP=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køling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tilført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0"/>
                        <w:szCs w:val="20"/>
                      </w:rPr>
                      <m:t>Q∙ρ∙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kølemiddel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0"/>
                        <w:szCs w:val="20"/>
                      </w:rPr>
                      <m:t>∙(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retur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frem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0"/>
                        <w:szCs w:val="20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/>
                            <w:sz w:val="20"/>
                            <w:szCs w:val="20"/>
                          </w:rPr>
                          <m:t>tilført</m:t>
                        </m:r>
                      </m:sub>
                    </m:sSub>
                  </m:den>
                </m:f>
              </m:oMath>
            </m:oMathPara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hvor,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P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køling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køleanlæggets energiproduktion [W]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P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tilført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køleanlæggets energiforbrug [W]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0"/>
                  <w:szCs w:val="20"/>
                </w:rPr>
                <m:t>Q</m:t>
              </m:r>
            </m:oMath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kølemidlets akkumulerede volumenstrøm [m3]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ρ er kølemidlets massefylde kg/l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c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kølemiddel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kølemidlets specifikke varmekapacitet J/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kg∙K</w:t>
            </w:r>
            <w:proofErr w:type="spellEnd"/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t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retur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kølemidlets returtemperatur [˚C]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t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frem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kølemidlets fremløbstemperatur [˚C]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E</w:t>
            </w:r>
            <w:r>
              <w:rPr>
                <w:rFonts w:eastAsiaTheme="minorEastAsia"/>
                <w:color w:val="000000"/>
                <w:sz w:val="20"/>
                <w:szCs w:val="20"/>
                <w:vertAlign w:val="subscript"/>
              </w:rPr>
              <w:t>tilført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er den tilførte energi til køleanlægget [J]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I tilfælde af behov for justeringer skal ændringer begrundes via </w:t>
            </w:r>
            <w:r>
              <w:rPr>
                <w:sz w:val="20"/>
                <w:szCs w:val="20"/>
              </w:rPr>
              <w:t xml:space="preserve">EN14825.  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Køleeffekter måles via energimåler kalibreret til det aktuelle kølemedie.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Forudsætninger for testens igangsætning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Anlægget skal være i termisk balance, når målingerne foretages. Termisk balance defineres som, at anlæggets ydre betingelser ikke ændres, eksempelvis konstant udetemperatur, konstant fremløbs- og returtemperatur, eller kapacitet tilføjes eller reduceres.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at testen kan gennemføres, skal følgende arbejder være afsluttet: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  <w:p w:rsidR="00317F6E" w:rsidRDefault="00317F6E" w:rsidP="00317F6E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testen for kapacitetsregulering for køleinstallation er godkendt</w:t>
            </w:r>
            <w:r>
              <w:rPr>
                <w:sz w:val="20"/>
                <w:szCs w:val="20"/>
              </w:rPr>
              <w:br/>
            </w:r>
          </w:p>
          <w:p w:rsidR="00317F6E" w:rsidRDefault="00317F6E" w:rsidP="00317F6E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energimålere, der tilsammen skal registrere den tilførte el-effekt til de samlede køleinstallationer, skal være kontrolleret og retvisende.</w:t>
            </w:r>
            <w:r>
              <w:rPr>
                <w:sz w:val="20"/>
                <w:szCs w:val="20"/>
              </w:rPr>
              <w:br/>
            </w:r>
          </w:p>
          <w:p w:rsidR="00317F6E" w:rsidRDefault="00317F6E" w:rsidP="00317F6E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energimålere, der skal registrere køleydelsen, skal være kontrolleret og retvise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de.</w:t>
            </w:r>
            <w:r>
              <w:rPr>
                <w:sz w:val="20"/>
                <w:szCs w:val="20"/>
              </w:rPr>
              <w:br/>
            </w:r>
          </w:p>
          <w:p w:rsidR="00317F6E" w:rsidRDefault="00317F6E" w:rsidP="00317F6E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udstyr, der løbende skal logge energimålernes effekt og løbende skal udregne, logge og fremvise System COP-faktoren som kurver (lograpporter) skal være kontroll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lastRenderedPageBreak/>
              <w:t>ret og retvisende</w:t>
            </w:r>
            <w:r w:rsidR="009101F2">
              <w:rPr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sz w:val="20"/>
                <w:szCs w:val="20"/>
              </w:rPr>
              <w:br/>
            </w:r>
          </w:p>
          <w:p w:rsidR="00317F6E" w:rsidRDefault="00317F6E" w:rsidP="00317F6E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egenkontrol og kvalitetssikring i henhold til udbudsmaterialet skal være færdigt og godkendt af fagtilsynet (inkl. evt. krævet mangeludbedring)</w:t>
            </w: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17F6E" w:rsidTr="00132D7E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Omfang af test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Stikprøveomfang for hovedkøleanlæg: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Stikprøveomfang: </w:t>
            </w:r>
            <w:proofErr w:type="gramStart"/>
            <w:r>
              <w:rPr>
                <w:sz w:val="20"/>
                <w:szCs w:val="20"/>
              </w:rPr>
              <w:t>100%</w:t>
            </w:r>
            <w:proofErr w:type="gramEnd"/>
          </w:p>
          <w:p w:rsidR="00317F6E" w:rsidRDefault="00317F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Tidspunkt for testens gennemførelse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Pr="009101F2" w:rsidRDefault="00317F6E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9101F2">
              <w:rPr>
                <w:i/>
                <w:color w:val="000000" w:themeColor="text1"/>
                <w:sz w:val="20"/>
                <w:szCs w:val="20"/>
              </w:rPr>
              <w:t xml:space="preserve">Til </w:t>
            </w:r>
            <w:r w:rsidR="0026257E" w:rsidRPr="009101F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9101F2">
              <w:rPr>
                <w:i/>
                <w:color w:val="000000" w:themeColor="text1"/>
                <w:sz w:val="20"/>
                <w:szCs w:val="20"/>
              </w:rPr>
              <w:t>: Det skal fremgå af byggeledelsens detaljerede planlægning, at testen genne</w:t>
            </w:r>
            <w:r w:rsidRPr="009101F2">
              <w:rPr>
                <w:i/>
                <w:color w:val="000000" w:themeColor="text1"/>
                <w:sz w:val="20"/>
                <w:szCs w:val="20"/>
              </w:rPr>
              <w:t>m</w:t>
            </w:r>
            <w:r w:rsidRPr="009101F2">
              <w:rPr>
                <w:i/>
                <w:color w:val="000000" w:themeColor="text1"/>
                <w:sz w:val="20"/>
                <w:szCs w:val="20"/>
              </w:rPr>
              <w:t>føres inden AB</w:t>
            </w:r>
            <w:r w:rsidR="00BB59EE">
              <w:rPr>
                <w:i/>
                <w:color w:val="000000" w:themeColor="text1"/>
                <w:sz w:val="20"/>
                <w:szCs w:val="20"/>
              </w:rPr>
              <w:t>18</w:t>
            </w:r>
            <w:r w:rsidRPr="009101F2">
              <w:rPr>
                <w:i/>
                <w:color w:val="000000" w:themeColor="text1"/>
                <w:sz w:val="20"/>
                <w:szCs w:val="20"/>
              </w:rPr>
              <w:t xml:space="preserve"> aflevering. </w:t>
            </w:r>
          </w:p>
          <w:p w:rsidR="00317F6E" w:rsidRDefault="00317F6E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  <w:color w:val="000000"/>
                <w:sz w:val="20"/>
                <w:szCs w:val="20"/>
                <w:lang w:eastAsia="da-DK"/>
              </w:rPr>
              <w:t xml:space="preserve">Afhængigt af udetemperatur kan det være hensigtsmæssigt at gennemføre testen på et andet tidspunkt.  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Testens varighed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da-DK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Testens indhold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Entreprenørens fremvisning og gennemgang af:</w:t>
            </w:r>
          </w:p>
          <w:p w:rsidR="00317F6E" w:rsidRDefault="00317F6E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317F6E" w:rsidRDefault="00317F6E" w:rsidP="00317F6E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Den egenkontrol og kvalitetssikring, der er godkendt af fagtilsynet (inkl. evt. krævet mangeludbedring)</w:t>
            </w:r>
          </w:p>
          <w:p w:rsidR="00317F6E" w:rsidRDefault="00317F6E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 testen </w:t>
            </w:r>
            <w:r>
              <w:rPr>
                <w:color w:val="000000" w:themeColor="text1"/>
                <w:sz w:val="20"/>
                <w:szCs w:val="20"/>
              </w:rPr>
              <w:t xml:space="preserve">udføres med udgangspunkt i de vigtigste driftssituationer for køleinstallationen. </w:t>
            </w:r>
          </w:p>
          <w:p w:rsidR="00317F6E" w:rsidRDefault="00317F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17F6E" w:rsidRDefault="00317F6E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Ved test uden for sommerperioden, skal det sikres, at kondensatortrykket svarer til de højeste dimensionsværdier for udetemperaturen.  </w:t>
            </w:r>
          </w:p>
          <w:p w:rsidR="00317F6E" w:rsidRDefault="00317F6E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317F6E" w:rsidRDefault="00317F6E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COP-faktoren beregnes løbende i henhold til afsnittet ”Metode for måling”.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med COP-faktor gennemgås.</w:t>
            </w:r>
          </w:p>
          <w:p w:rsidR="00317F6E" w:rsidRDefault="00317F6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Målere/målepunkter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skal aflæses i alt 4 målinger pr. kompressorunit, alle tilgængelige via CTS, pr. COP-beregning, nemlig:</w:t>
            </w: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Afgivet køleeffekt målt på energimåler, som registrerer nedenstående værdier: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Akkumuleret volumenstrøm</w:t>
            </w:r>
            <w:r>
              <w:rPr>
                <w:rFonts w:eastAsiaTheme="minorEastAsia"/>
                <w:i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Q</m:t>
              </m:r>
            </m:oMath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[m</w:t>
            </w:r>
            <w:r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]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Kølemidlets returtemperatur [˚C]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Kølemidlets fremløbstemperatur [˚C]</w:t>
            </w:r>
          </w:p>
          <w:p w:rsidR="00317F6E" w:rsidRDefault="00317F6E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Tilført 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eleffekt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til </w:t>
            </w:r>
            <w:r>
              <w:rPr>
                <w:color w:val="000000"/>
                <w:sz w:val="20"/>
                <w:szCs w:val="20"/>
              </w:rPr>
              <w:t xml:space="preserve">kompressorenheder med tilhørende pumper 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målt på 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</w:rPr>
              <w:t>elbimåler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. </w:t>
            </w: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Målingen opsættes ud fra definitionen ovenfor som en permanent lograpport i CTS for hver enkelt kompressorunit.  </w:t>
            </w:r>
          </w:p>
          <w:p w:rsidR="00BB59EE" w:rsidRDefault="00BB5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101F2">
              <w:rPr>
                <w:i/>
                <w:sz w:val="20"/>
                <w:szCs w:val="20"/>
              </w:rPr>
              <w:t xml:space="preserve">Til </w:t>
            </w:r>
            <w:r w:rsidR="0026257E" w:rsidRPr="009101F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9101F2">
              <w:rPr>
                <w:i/>
                <w:sz w:val="20"/>
                <w:szCs w:val="20"/>
              </w:rPr>
              <w:t>: Her oplistes de instrumenter, der er nødvendige til gennemførelse af testen. Det skal sikres, at de målepunkter, der er beskrevet under ”Testens indhold” er tilgængelige i projektet.</w:t>
            </w:r>
          </w:p>
          <w:p w:rsidR="00BB59EE" w:rsidRDefault="00BB5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Tegning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Principdiagram som findes i projektmaterialet.</w:t>
            </w: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 for måling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COP-faktor, øjebliksværdi: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energimåleres øjebliksværdi for effekt [kW] aflæses samtidigt og logges automatisk hvert 5 min. Herefter beregnes og logges System COP-faktorens øjebliksværdi, via CTS.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COP-faktor, middelværdi:</w:t>
            </w:r>
          </w:p>
          <w:p w:rsidR="00317F6E" w:rsidRDefault="00317F6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energimåleres øjebliksværdi for energi [kWh] aflæses samtidigt og logges automatisk hver 2. time. Herefter beregnes og logges System COP-faktorens middelværdi for denne </w:t>
            </w:r>
            <w:r>
              <w:rPr>
                <w:sz w:val="20"/>
                <w:szCs w:val="20"/>
              </w:rPr>
              <w:lastRenderedPageBreak/>
              <w:t>periode, via CTS.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COP gennemgås. Logninger skal være tilgængelige for en periode på m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nimum 4 døgn forud for testens start, dvs. at anlæggene skal være opstartet 4 døgn før testens start, og det skal være konstateret, at lograpporter er retvisende, samt at anlægget er i termisk balance.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De enkelte kompressorunits skal testes ved gradvist ændret belastning fra 0 - 100 % kapac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tet, samt i følgende belastningssituationer: 1/1 last-2/3 last og 1/3 last. De ideelle testko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ditioner er ved en udetemperatur på 25 grader.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det tilfælde, at der på tidspunktet for test ikke i bygningen er en varme/køle-belastning der svarer til den krævede effekt fra køleinstallationen, sørger Bygherren for, at der opsti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les en varme-kølekilde, svarende til de enkelte køleanlægs køleeffekt, således at kølemidlet kan opvarmes tilsvarende. 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Acceptkriterium</w:t>
            </w:r>
          </w:p>
          <w:p w:rsidR="00317F6E" w:rsidRDefault="00317F6E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Testens resultat accepteres, hvis COP visningen i CTS lograpporterne viser at COP-faktoren for hver enkelt kompressorunit er i overensstemmelse med udbudsmaterialets krav. Der accepteres en afvigelse på </w:t>
            </w:r>
            <w:proofErr w:type="gramStart"/>
            <w:r>
              <w:rPr>
                <w:sz w:val="20"/>
                <w:szCs w:val="20"/>
              </w:rPr>
              <w:t>5%</w:t>
            </w:r>
            <w:proofErr w:type="gramEnd"/>
            <w:r>
              <w:rPr>
                <w:sz w:val="20"/>
                <w:szCs w:val="20"/>
              </w:rPr>
              <w:t xml:space="preserve"> ved fuld belastning </w:t>
            </w:r>
            <w:proofErr w:type="spellStart"/>
            <w:r>
              <w:rPr>
                <w:sz w:val="20"/>
                <w:szCs w:val="20"/>
              </w:rPr>
              <w:t>p.g.a</w:t>
            </w:r>
            <w:proofErr w:type="spellEnd"/>
            <w:r>
              <w:rPr>
                <w:sz w:val="20"/>
                <w:szCs w:val="20"/>
              </w:rPr>
              <w:t xml:space="preserve">. samlet måle usikkerhed. </w:t>
            </w:r>
          </w:p>
          <w:p w:rsidR="00317F6E" w:rsidRPr="009101F2" w:rsidRDefault="00317F6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101F2">
              <w:rPr>
                <w:i/>
                <w:sz w:val="20"/>
                <w:szCs w:val="20"/>
              </w:rPr>
              <w:t xml:space="preserve">Til </w:t>
            </w:r>
            <w:r w:rsidR="0026257E" w:rsidRPr="009101F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9101F2">
              <w:rPr>
                <w:i/>
                <w:sz w:val="20"/>
                <w:szCs w:val="20"/>
              </w:rPr>
              <w:t>: Indsæt entydig reference til det dokument hvor kravet fremgår, f.eks. en fun</w:t>
            </w:r>
            <w:r w:rsidRPr="009101F2">
              <w:rPr>
                <w:i/>
                <w:sz w:val="20"/>
                <w:szCs w:val="20"/>
              </w:rPr>
              <w:t>k</w:t>
            </w:r>
            <w:r w:rsidRPr="009101F2">
              <w:rPr>
                <w:i/>
                <w:sz w:val="20"/>
                <w:szCs w:val="20"/>
              </w:rPr>
              <w:t xml:space="preserve">tionsbeskrivelse af </w:t>
            </w:r>
            <w:r w:rsidR="00BB59EE">
              <w:rPr>
                <w:i/>
                <w:sz w:val="20"/>
                <w:szCs w:val="20"/>
              </w:rPr>
              <w:t>anlæg xx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Observati</w:t>
            </w:r>
            <w:r>
              <w:rPr>
                <w:color w:val="000000" w:themeColor="text1"/>
                <w:sz w:val="20"/>
                <w:szCs w:val="20"/>
              </w:rPr>
              <w:t>o</w:t>
            </w:r>
            <w:r>
              <w:rPr>
                <w:color w:val="000000" w:themeColor="text1"/>
                <w:sz w:val="20"/>
                <w:szCs w:val="20"/>
              </w:rPr>
              <w:t>ner/Registreringer foretaget under testen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Fagtilsynet udarbejder et tilsynsnotat hvor</w:t>
            </w:r>
            <w:r w:rsidR="00BB59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af fremgår: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Tryk og temperaturer under alle driftstilstande</w:t>
            </w:r>
          </w:p>
          <w:p w:rsidR="00317F6E" w:rsidRDefault="00317F6E">
            <w:pPr>
              <w:pStyle w:val="Listeafsnit"/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Testindikatorer. 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Hvad kan afvigelser skyldes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det tilfælde at testen viser, at acceptkriterium ikke kan opfyldes, er der behov for en nærmere gennemgang af installationerne med henblik på at lokalisere årsagen. Blandt de mulige fejlkilder er: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Særlige temperaturforhold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Måletekniske unøjagtigheder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Fejl i udførelse af køleanlæg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Fejl i indregulering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Anlæg er fra fabrik leveret med en lavere energieffektivitet end beskrevet.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Projekteringsfejl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Andet </w:t>
            </w: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Manuelle registr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ringer som foretages under testen som supplement til CTS lograpporter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Fagtilsynet udarbejder et tilsynsnotat </w:t>
            </w:r>
            <w:proofErr w:type="gramStart"/>
            <w:r>
              <w:rPr>
                <w:sz w:val="20"/>
                <w:szCs w:val="20"/>
              </w:rPr>
              <w:t>hvoraf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fremgår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Fagtilsynets observationer og kommentarer til hvert testet anlæg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Bilag med entreprenørens udskrift (pdf-format) af alle:</w:t>
            </w:r>
          </w:p>
          <w:p w:rsidR="00317F6E" w:rsidRDefault="00317F6E" w:rsidP="00317F6E">
            <w:pPr>
              <w:pStyle w:val="Listeafsnit"/>
              <w:numPr>
                <w:ilvl w:val="1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hver enkelt energimåler</w:t>
            </w:r>
          </w:p>
          <w:p w:rsidR="00317F6E" w:rsidRDefault="00317F6E" w:rsidP="00317F6E">
            <w:pPr>
              <w:pStyle w:val="Listeafsnit"/>
              <w:numPr>
                <w:ilvl w:val="1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samlet køleydelse</w:t>
            </w:r>
          </w:p>
          <w:p w:rsidR="00317F6E" w:rsidRDefault="00317F6E" w:rsidP="00317F6E">
            <w:pPr>
              <w:pStyle w:val="Listeafsnit"/>
              <w:numPr>
                <w:ilvl w:val="1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samlet energiforbrug</w:t>
            </w:r>
          </w:p>
          <w:p w:rsidR="00317F6E" w:rsidRDefault="00317F6E" w:rsidP="00317F6E">
            <w:pPr>
              <w:pStyle w:val="Listeafsnit"/>
              <w:numPr>
                <w:ilvl w:val="1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for COP-faktor for dels kompressorunits og dels for system COP.</w:t>
            </w:r>
          </w:p>
          <w:p w:rsidR="00317F6E" w:rsidRDefault="00317F6E" w:rsidP="00317F6E">
            <w:pPr>
              <w:pStyle w:val="Listeafsnit"/>
              <w:numPr>
                <w:ilvl w:val="1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Lograpporter køleanlæggets driftsform.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Testens resultat: Er testens acceptkriterium opfyldt. Ja/nej</w:t>
            </w:r>
          </w:p>
          <w:p w:rsidR="00317F6E" w:rsidRDefault="00317F6E" w:rsidP="00317F6E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Sideløbende med overvågning af lograpporter føres en manuel testjournal, hvor n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denstående målepunkter registreres for hver kompressorunit. Formålet er at verific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re, at der er overensstemmelse mellem de manuelt beregnede COP værdier og værd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er som fremgår af lograpporter. </w:t>
            </w:r>
          </w:p>
          <w:p w:rsidR="007031F3" w:rsidRDefault="007031F3" w:rsidP="009101F2">
            <w:pPr>
              <w:spacing w:after="0" w:line="240" w:lineRule="auto"/>
              <w:rPr>
                <w:sz w:val="20"/>
                <w:szCs w:val="20"/>
              </w:rPr>
            </w:pPr>
          </w:p>
          <w:p w:rsidR="007031F3" w:rsidRPr="009101F2" w:rsidRDefault="007031F3" w:rsidP="009101F2">
            <w:pPr>
              <w:spacing w:after="0" w:line="240" w:lineRule="auto"/>
              <w:rPr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1701"/>
              <w:gridCol w:w="1560"/>
              <w:gridCol w:w="2693"/>
            </w:tblGrid>
            <w:tr w:rsidR="00317F6E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6E" w:rsidRDefault="00317F6E">
                  <w:pPr>
                    <w:spacing w:after="0" w:line="240" w:lineRule="auto"/>
                    <w:rPr>
                      <w:b/>
                      <w:sz w:val="20"/>
                      <w:szCs w:val="20"/>
                      <w:highlight w:val="yellow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Tidspkt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6E" w:rsidRDefault="00317F6E">
                  <w:pPr>
                    <w:spacing w:after="0" w:line="240" w:lineRule="auto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Tilført el-effekt [kW]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6E" w:rsidRDefault="00317F6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Køleydelse [kW]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F6E" w:rsidRDefault="00317F6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Manuelt beregnet COP-faktor </w:t>
                  </w:r>
                  <w:r>
                    <w:rPr>
                      <w:b/>
                      <w:sz w:val="20"/>
                      <w:szCs w:val="20"/>
                    </w:rPr>
                    <w:br/>
                    <w:t>(øjebliksværdi)</w:t>
                  </w:r>
                </w:p>
              </w:tc>
            </w:tr>
            <w:tr w:rsidR="00317F6E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7F6E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7F6E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7F6E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7F6E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7F6E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7F6E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7F6E"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F6E" w:rsidRDefault="00317F6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Testens resultat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 testens acceptkriterium opfyldt. Ja/nej: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7F6E" w:rsidTr="00132D7E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forpligtigelser i ti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fælde af ikke bestået test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det tilfælde testen viser, at acceptkriteriet ikke er opfyldt, noteres manglerne. 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 for 10 arbejdsdage skal entreprenørerne sørge for, at alle fejl og mangler er udbe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ret. Herefter skal fagtilsynet </w:t>
            </w:r>
            <w:r>
              <w:rPr>
                <w:color w:val="000000" w:themeColor="text1"/>
                <w:sz w:val="20"/>
                <w:szCs w:val="20"/>
              </w:rPr>
              <w:t>godkende entreprenørernes mangeludbedring.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</w:t>
            </w:r>
            <w:r>
              <w:rPr>
                <w:color w:val="000000" w:themeColor="text1"/>
                <w:sz w:val="20"/>
                <w:szCs w:val="20"/>
              </w:rPr>
              <w:t>entreprenørernes mangeludbedring</w:t>
            </w:r>
            <w:r>
              <w:rPr>
                <w:sz w:val="20"/>
                <w:szCs w:val="20"/>
              </w:rPr>
              <w:t xml:space="preserve"> er godkendt af fagtilsynet, genoptages testen.</w:t>
            </w:r>
          </w:p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7F6E" w:rsidTr="00132D7E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Værdi af ikke-bestået test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Fremgår af dokumentet ”Generelle betingelser for slutkontrol og samordnet slutkontrol”.</w:t>
            </w:r>
          </w:p>
          <w:p w:rsidR="00317F6E" w:rsidRDefault="00317F6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="00317F6E" w:rsidRPr="009101F2" w:rsidRDefault="00317F6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101F2">
              <w:rPr>
                <w:i/>
                <w:sz w:val="20"/>
                <w:szCs w:val="20"/>
              </w:rPr>
              <w:t xml:space="preserve">Til </w:t>
            </w:r>
            <w:r w:rsidR="0026257E" w:rsidRPr="009101F2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9101F2">
              <w:rPr>
                <w:i/>
                <w:sz w:val="20"/>
                <w:szCs w:val="20"/>
              </w:rPr>
              <w:t>:</w:t>
            </w:r>
          </w:p>
          <w:p w:rsidR="00317F6E" w:rsidRPr="009101F2" w:rsidRDefault="00317F6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101F2">
              <w:rPr>
                <w:i/>
                <w:sz w:val="20"/>
                <w:szCs w:val="20"/>
              </w:rPr>
              <w:t>Byggeledelsen/fagtilsynet skal være opmærksom på, at der ikke uretmæssigt udbetales for ydelser, der ikke er leveret og verificeret i denne test.</w:t>
            </w:r>
          </w:p>
          <w:p w:rsidR="00317F6E" w:rsidRDefault="00317F6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317F6E" w:rsidTr="00132D7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E" w:rsidRDefault="00317F6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Anvendelse i energ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styring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Ændringer over tid kan indikere at driftsmæssige ændringer har indflydelse på COP, e</w:t>
            </w:r>
            <w:r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sempelvis vis indreguleringen ændres eller temperaturforhold ændres. Som led i den tekn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ske drift overvåges COP og denne overvågning indgår som en parameter i en løbende o</w:t>
            </w:r>
            <w:r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 xml:space="preserve">timering af den tekniske drift.   </w:t>
            </w:r>
          </w:p>
          <w:p w:rsidR="00317F6E" w:rsidRDefault="00317F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5B06CB" w:rsidRPr="005B06CB" w:rsidRDefault="005B06CB" w:rsidP="005B06CB"/>
    <w:p w:rsidR="005B06CB" w:rsidRDefault="005B06CB" w:rsidP="005B06CB"/>
    <w:p w:rsidR="00BF26AB" w:rsidRPr="005B06CB" w:rsidRDefault="005B06CB" w:rsidP="005B06CB">
      <w:pPr>
        <w:tabs>
          <w:tab w:val="left" w:pos="3219"/>
        </w:tabs>
      </w:pPr>
      <w:r>
        <w:tab/>
      </w:r>
    </w:p>
    <w:sectPr w:rsidR="00BF26AB" w:rsidRPr="005B06CB" w:rsidSect="00F027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73" w:right="991" w:bottom="1985" w:left="1418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EA" w:rsidRDefault="007E73EA" w:rsidP="00DF37C3">
      <w:pPr>
        <w:spacing w:line="240" w:lineRule="auto"/>
      </w:pPr>
      <w:r>
        <w:separator/>
      </w:r>
    </w:p>
  </w:endnote>
  <w:endnote w:type="continuationSeparator" w:id="0">
    <w:p w:rsidR="007E73EA" w:rsidRDefault="007E73EA" w:rsidP="00DF3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0C7A83" w:rsidTr="00AB74E0">
      <w:trPr>
        <w:cantSplit/>
      </w:trPr>
      <w:tc>
        <w:tcPr>
          <w:tcW w:w="7513" w:type="dxa"/>
          <w:shd w:val="clear" w:color="auto" w:fill="auto"/>
          <w:vAlign w:val="bottom"/>
        </w:tcPr>
        <w:p w:rsidR="00CF43FC" w:rsidRPr="0026257E" w:rsidRDefault="00F027BE" w:rsidP="003514DC">
          <w:pPr>
            <w:pStyle w:val="SidefodByline"/>
            <w:rPr>
              <w:lang w:val="en-US"/>
            </w:rPr>
          </w:pPr>
          <w:bookmarkStart w:id="1" w:name="BmSidenr" w:colFirst="2" w:colLast="2"/>
          <w:r w:rsidRPr="0026257E">
            <w:rPr>
              <w:lang w:val="en-US"/>
            </w:rPr>
            <w:t>Performance test</w:t>
          </w:r>
          <w:r w:rsidR="005B06CB" w:rsidRPr="0026257E">
            <w:rPr>
              <w:lang w:val="en-US"/>
            </w:rPr>
            <w:t xml:space="preserve"> </w:t>
          </w:r>
          <w:r w:rsidR="00317F6E" w:rsidRPr="0026257E">
            <w:rPr>
              <w:lang w:val="en-US"/>
            </w:rPr>
            <w:t>Kølekompressorer. COP</w:t>
          </w:r>
        </w:p>
      </w:tc>
      <w:tc>
        <w:tcPr>
          <w:tcW w:w="284" w:type="dxa"/>
          <w:shd w:val="clear" w:color="auto" w:fill="auto"/>
          <w:vAlign w:val="bottom"/>
        </w:tcPr>
        <w:p w:rsidR="00CF43FC" w:rsidRPr="0026257E" w:rsidRDefault="00CF43FC" w:rsidP="000C7A83">
          <w:pPr>
            <w:pStyle w:val="Sidefod"/>
            <w:rPr>
              <w:color w:val="808080"/>
              <w:lang w:val="en-US"/>
            </w:rPr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0C7A83" w:rsidRDefault="00F027BE" w:rsidP="000C7A83">
          <w:pPr>
            <w:pStyle w:val="Sidefod"/>
            <w:rPr>
              <w:lang w:val="en-US"/>
            </w:rPr>
          </w:pPr>
          <w:r w:rsidRPr="0026257E">
            <w:rPr>
              <w:lang w:val="en-US"/>
            </w:rPr>
            <w:t xml:space="preserve">                      </w:t>
          </w:r>
          <w:r w:rsidR="00BF26AB">
            <w:rPr>
              <w:lang w:val="en-US"/>
            </w:rPr>
            <w:t>Side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page </w:instrText>
          </w:r>
          <w:r w:rsidR="00D312B6">
            <w:rPr>
              <w:lang w:val="en-US"/>
            </w:rPr>
            <w:fldChar w:fldCharType="separate"/>
          </w:r>
          <w:r w:rsidR="009101F2">
            <w:rPr>
              <w:lang w:val="en-US"/>
            </w:rPr>
            <w:t>2</w:t>
          </w:r>
          <w:r w:rsidR="00D312B6">
            <w:rPr>
              <w:lang w:val="en-US"/>
            </w:rPr>
            <w:fldChar w:fldCharType="end"/>
          </w:r>
          <w:r w:rsidR="00D312B6">
            <w:rPr>
              <w:lang w:val="en-US"/>
            </w:rPr>
            <w:t xml:space="preserve"> </w:t>
          </w:r>
          <w:r w:rsidR="00BF26AB">
            <w:rPr>
              <w:lang w:val="en-US"/>
            </w:rPr>
            <w:t>af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numpages </w:instrText>
          </w:r>
          <w:r w:rsidR="00D312B6">
            <w:rPr>
              <w:lang w:val="en-US"/>
            </w:rPr>
            <w:fldChar w:fldCharType="separate"/>
          </w:r>
          <w:r w:rsidR="009101F2">
            <w:rPr>
              <w:lang w:val="en-US"/>
            </w:rPr>
            <w:t>4</w:t>
          </w:r>
          <w:r w:rsidR="00D312B6">
            <w:rPr>
              <w:lang w:val="en-US"/>
            </w:rPr>
            <w:fldChar w:fldCharType="end"/>
          </w:r>
        </w:p>
      </w:tc>
    </w:tr>
    <w:bookmarkEnd w:id="1"/>
  </w:tbl>
  <w:p w:rsidR="00CF43FC" w:rsidRPr="00B66B38" w:rsidRDefault="00CF43FC" w:rsidP="003E74A0">
    <w:pPr>
      <w:pStyle w:val="minimal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7"/>
      <w:gridCol w:w="360"/>
      <w:gridCol w:w="2128"/>
    </w:tblGrid>
    <w:tr w:rsidR="00CF43FC" w:rsidRPr="00EA78A9" w:rsidTr="009101F2">
      <w:trPr>
        <w:cantSplit/>
      </w:trPr>
      <w:tc>
        <w:tcPr>
          <w:tcW w:w="6477" w:type="dxa"/>
          <w:shd w:val="clear" w:color="auto" w:fill="auto"/>
          <w:vAlign w:val="bottom"/>
        </w:tcPr>
        <w:p w:rsidR="00132D7E" w:rsidRDefault="00132D7E" w:rsidP="00132D7E">
          <w:pPr>
            <w:pStyle w:val="Sidefod"/>
            <w:spacing w:after="0"/>
          </w:pPr>
          <w:bookmarkStart w:id="3" w:name="BmBundtekst" w:colFirst="0" w:colLast="0"/>
          <w:r>
            <w:t>www.bygst.dk · T 4170 1000 · bygst@bygst.dk · CVR 58182516</w:t>
          </w:r>
        </w:p>
        <w:p w:rsidR="00CF43FC" w:rsidRPr="00EA78A9" w:rsidRDefault="00132D7E" w:rsidP="009101F2">
          <w:pPr>
            <w:pStyle w:val="SidefodByline"/>
            <w:spacing w:after="0"/>
          </w:pPr>
          <w:r>
            <w:t>Bygningssty</w:t>
          </w:r>
          <w:r w:rsidR="009101F2">
            <w:t>relsen er en del af Transport-</w:t>
          </w:r>
          <w:r>
            <w:t xml:space="preserve"> og Boligministeriet</w:t>
          </w:r>
        </w:p>
      </w:tc>
      <w:tc>
        <w:tcPr>
          <w:tcW w:w="360" w:type="dxa"/>
          <w:shd w:val="clear" w:color="auto" w:fill="auto"/>
          <w:vAlign w:val="bottom"/>
        </w:tcPr>
        <w:p w:rsidR="00CF43FC" w:rsidRPr="00EA78A9" w:rsidRDefault="00CF43FC" w:rsidP="007B75C9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EA78A9" w:rsidRDefault="00CF43FC" w:rsidP="009750DD">
          <w:pPr>
            <w:pStyle w:val="Sidefod"/>
          </w:pPr>
        </w:p>
      </w:tc>
    </w:tr>
    <w:bookmarkEnd w:id="3"/>
  </w:tbl>
  <w:p w:rsidR="00CF43FC" w:rsidRPr="00EA78A9" w:rsidRDefault="00CF43FC" w:rsidP="00B909B2">
    <w:pPr>
      <w:pStyle w:val="minimal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EA" w:rsidRDefault="007E73EA" w:rsidP="00DF37C3">
      <w:pPr>
        <w:spacing w:line="240" w:lineRule="auto"/>
      </w:pPr>
      <w:r>
        <w:separator/>
      </w:r>
    </w:p>
  </w:footnote>
  <w:footnote w:type="continuationSeparator" w:id="0">
    <w:p w:rsidR="007E73EA" w:rsidRDefault="007E73EA" w:rsidP="00DF3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0C7A83" w:rsidTr="00E2605B">
      <w:tc>
        <w:tcPr>
          <w:tcW w:w="7513" w:type="dxa"/>
          <w:shd w:val="clear" w:color="auto" w:fill="auto"/>
        </w:tcPr>
        <w:p w:rsidR="00CF43FC" w:rsidRPr="000C7A83" w:rsidRDefault="0071131D" w:rsidP="000C7A83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7216" behindDoc="0" locked="1" layoutInCell="0" allowOverlap="1" wp14:anchorId="6E1394DA" wp14:editId="00426D9B">
                <wp:simplePos x="0" y="0"/>
                <wp:positionH relativeFrom="page">
                  <wp:posOffset>816610</wp:posOffset>
                </wp:positionH>
                <wp:positionV relativeFrom="page">
                  <wp:posOffset>445770</wp:posOffset>
                </wp:positionV>
                <wp:extent cx="2519045" cy="387350"/>
                <wp:effectExtent l="0" t="0" r="0" b="0"/>
                <wp:wrapNone/>
                <wp:docPr id="29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CF43FC" w:rsidRPr="000C7A83" w:rsidRDefault="00CF43FC" w:rsidP="000C7A83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CF43FC" w:rsidRPr="00BB68FA" w:rsidRDefault="00CF43FC" w:rsidP="000C7A83">
          <w:pPr>
            <w:pStyle w:val="Dokumentbetegnelse"/>
          </w:pPr>
        </w:p>
      </w:tc>
    </w:tr>
  </w:tbl>
  <w:p w:rsidR="00CF43FC" w:rsidRDefault="00CF43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9101F2" w:rsidRPr="000C7A83" w:rsidTr="008C0A61">
      <w:tc>
        <w:tcPr>
          <w:tcW w:w="7513" w:type="dxa"/>
          <w:shd w:val="clear" w:color="auto" w:fill="auto"/>
        </w:tcPr>
        <w:p w:rsidR="009101F2" w:rsidRPr="000C7A83" w:rsidRDefault="009101F2" w:rsidP="008C0A61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9264" behindDoc="0" locked="1" layoutInCell="0" allowOverlap="1" wp14:anchorId="0F7370E9" wp14:editId="5ABF4474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9101F2" w:rsidRPr="000C7A83" w:rsidRDefault="009101F2" w:rsidP="008C0A61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9101F2" w:rsidRPr="00C85BDC" w:rsidRDefault="009101F2" w:rsidP="008C0A61">
          <w:pPr>
            <w:pStyle w:val="Dokumentbetegnelse"/>
            <w:rPr>
              <w:sz w:val="18"/>
              <w:szCs w:val="18"/>
            </w:rPr>
          </w:pPr>
          <w:bookmarkStart w:id="2" w:name="BmDokumenttype"/>
          <w:bookmarkEnd w:id="2"/>
          <w:r w:rsidRPr="00C85BDC">
            <w:rPr>
              <w:sz w:val="18"/>
              <w:szCs w:val="18"/>
            </w:rPr>
            <w:t>PERFORMANCE TEST</w:t>
          </w:r>
        </w:p>
      </w:tc>
    </w:tr>
  </w:tbl>
  <w:p w:rsidR="009101F2" w:rsidRDefault="009101F2" w:rsidP="009101F2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30AD">
      <w:rPr>
        <w:rFonts w:ascii="Arial" w:hAnsi="Arial" w:cs="Arial"/>
        <w:sz w:val="16"/>
        <w:szCs w:val="16"/>
      </w:rPr>
      <w:t xml:space="preserve">Center for Byggeri </w:t>
    </w:r>
    <w:r>
      <w:rPr>
        <w:rFonts w:ascii="Arial" w:hAnsi="Arial" w:cs="Arial"/>
        <w:sz w:val="16"/>
        <w:szCs w:val="16"/>
      </w:rPr>
      <w:t>–</w:t>
    </w:r>
    <w:r w:rsidRPr="00B830AD">
      <w:rPr>
        <w:rFonts w:ascii="Arial" w:hAnsi="Arial" w:cs="Arial"/>
        <w:sz w:val="16"/>
        <w:szCs w:val="16"/>
      </w:rPr>
      <w:t xml:space="preserve"> PLAN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Version 02</w:t>
    </w:r>
    <w:r w:rsidRPr="00B830AD">
      <w:rPr>
        <w:rFonts w:ascii="Arial" w:hAnsi="Arial" w:cs="Arial"/>
        <w:sz w:val="16"/>
        <w:szCs w:val="16"/>
      </w:rPr>
      <w:t xml:space="preserve"> af </w:t>
    </w:r>
    <w:r>
      <w:rPr>
        <w:rFonts w:ascii="Arial" w:hAnsi="Arial" w:cs="Arial"/>
        <w:sz w:val="16"/>
        <w:szCs w:val="16"/>
      </w:rPr>
      <w:t>01</w:t>
    </w:r>
    <w:r w:rsidRPr="00B830AD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8</w:t>
    </w:r>
    <w:r w:rsidRPr="00B830A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FRGLU/THORY</w:t>
    </w:r>
    <w:r>
      <w:rPr>
        <w:rFonts w:ascii="Arial" w:hAnsi="Arial" w:cs="Arial"/>
        <w:sz w:val="16"/>
        <w:szCs w:val="16"/>
      </w:rPr>
      <w:br/>
    </w:r>
  </w:p>
  <w:p w:rsidR="00CF43FC" w:rsidRPr="009101F2" w:rsidRDefault="00CF43FC" w:rsidP="009101F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6EF5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155FBB"/>
    <w:multiLevelType w:val="hybridMultilevel"/>
    <w:tmpl w:val="B19C34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D1797"/>
    <w:multiLevelType w:val="hybridMultilevel"/>
    <w:tmpl w:val="6C661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01D14"/>
    <w:multiLevelType w:val="hybridMultilevel"/>
    <w:tmpl w:val="8D78A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503D"/>
    <w:multiLevelType w:val="multilevel"/>
    <w:tmpl w:val="C6DECB00"/>
    <w:styleLink w:val="ListePunkter"/>
    <w:lvl w:ilvl="0">
      <w:start w:val="1"/>
      <w:numFmt w:val="bullet"/>
      <w:pStyle w:val="Opstilling-punkttegn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•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•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5">
    <w:nsid w:val="0F2D65FF"/>
    <w:multiLevelType w:val="hybridMultilevel"/>
    <w:tmpl w:val="5B60D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7945"/>
    <w:multiLevelType w:val="hybridMultilevel"/>
    <w:tmpl w:val="2876A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17E33"/>
    <w:multiLevelType w:val="hybridMultilevel"/>
    <w:tmpl w:val="FAB6B8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F27D9"/>
    <w:multiLevelType w:val="hybridMultilevel"/>
    <w:tmpl w:val="D7A09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F7700"/>
    <w:multiLevelType w:val="hybridMultilevel"/>
    <w:tmpl w:val="F36AC8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3A6FF0"/>
    <w:multiLevelType w:val="hybridMultilevel"/>
    <w:tmpl w:val="11DC8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E37451"/>
    <w:multiLevelType w:val="hybridMultilevel"/>
    <w:tmpl w:val="F6444B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22263"/>
    <w:multiLevelType w:val="hybridMultilevel"/>
    <w:tmpl w:val="F73C85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1245D5"/>
    <w:multiLevelType w:val="hybridMultilevel"/>
    <w:tmpl w:val="63E48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A3F41"/>
    <w:multiLevelType w:val="hybridMultilevel"/>
    <w:tmpl w:val="C5D4F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6584D"/>
    <w:multiLevelType w:val="hybridMultilevel"/>
    <w:tmpl w:val="A8FEA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77F9A"/>
    <w:multiLevelType w:val="hybridMultilevel"/>
    <w:tmpl w:val="6ACCA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A5DAC"/>
    <w:multiLevelType w:val="hybridMultilevel"/>
    <w:tmpl w:val="D97265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500011"/>
    <w:multiLevelType w:val="hybridMultilevel"/>
    <w:tmpl w:val="6374BEE8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3"/>
  </w:num>
  <w:num w:numId="8">
    <w:abstractNumId w:val="17"/>
  </w:num>
  <w:num w:numId="9">
    <w:abstractNumId w:val="16"/>
  </w:num>
  <w:num w:numId="10">
    <w:abstractNumId w:val="3"/>
  </w:num>
  <w:num w:numId="11">
    <w:abstractNumId w:val="1"/>
  </w:num>
  <w:num w:numId="12">
    <w:abstractNumId w:val="12"/>
  </w:num>
  <w:num w:numId="13">
    <w:abstractNumId w:val="17"/>
  </w:num>
  <w:num w:numId="14">
    <w:abstractNumId w:val="15"/>
  </w:num>
  <w:num w:numId="15">
    <w:abstractNumId w:val="10"/>
  </w:num>
  <w:num w:numId="16">
    <w:abstractNumId w:val="7"/>
  </w:num>
  <w:num w:numId="17">
    <w:abstractNumId w:val="18"/>
  </w:num>
  <w:num w:numId="18">
    <w:abstractNumId w:val="6"/>
  </w:num>
  <w:num w:numId="19">
    <w:abstractNumId w:val="8"/>
  </w:num>
  <w:num w:numId="20">
    <w:abstractNumId w:val="9"/>
  </w:num>
  <w:num w:numId="21">
    <w:abstractNumId w:val="11"/>
  </w:num>
  <w:num w:numId="22">
    <w:abstractNumId w:val="14"/>
  </w:num>
  <w:num w:numId="23">
    <w:abstractNumId w:val="9"/>
  </w:num>
  <w:num w:numId="24">
    <w:abstractNumId w:val="5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AB"/>
    <w:rsid w:val="00000835"/>
    <w:rsid w:val="00001777"/>
    <w:rsid w:val="0000772A"/>
    <w:rsid w:val="0002097B"/>
    <w:rsid w:val="00032978"/>
    <w:rsid w:val="00072F61"/>
    <w:rsid w:val="000776F5"/>
    <w:rsid w:val="000A255D"/>
    <w:rsid w:val="000A632A"/>
    <w:rsid w:val="000C624D"/>
    <w:rsid w:val="000C7A83"/>
    <w:rsid w:val="0010779B"/>
    <w:rsid w:val="00117A08"/>
    <w:rsid w:val="00132D7E"/>
    <w:rsid w:val="00151758"/>
    <w:rsid w:val="00153514"/>
    <w:rsid w:val="00172DA1"/>
    <w:rsid w:val="001816A3"/>
    <w:rsid w:val="001B525D"/>
    <w:rsid w:val="001C03B4"/>
    <w:rsid w:val="001E6E9B"/>
    <w:rsid w:val="001F6A73"/>
    <w:rsid w:val="00213BE1"/>
    <w:rsid w:val="0026257E"/>
    <w:rsid w:val="00264753"/>
    <w:rsid w:val="0027791B"/>
    <w:rsid w:val="00277BFB"/>
    <w:rsid w:val="002801EC"/>
    <w:rsid w:val="00280B21"/>
    <w:rsid w:val="00296A9F"/>
    <w:rsid w:val="002A5462"/>
    <w:rsid w:val="002D4646"/>
    <w:rsid w:val="002F7907"/>
    <w:rsid w:val="003113C7"/>
    <w:rsid w:val="00312A3E"/>
    <w:rsid w:val="00317F6E"/>
    <w:rsid w:val="003228FC"/>
    <w:rsid w:val="003514DC"/>
    <w:rsid w:val="00363BF2"/>
    <w:rsid w:val="00366CF8"/>
    <w:rsid w:val="00380654"/>
    <w:rsid w:val="00383A5B"/>
    <w:rsid w:val="003877CC"/>
    <w:rsid w:val="00396735"/>
    <w:rsid w:val="003A340A"/>
    <w:rsid w:val="003A4E22"/>
    <w:rsid w:val="003A5AD2"/>
    <w:rsid w:val="003D30BA"/>
    <w:rsid w:val="003D425E"/>
    <w:rsid w:val="003D5CB8"/>
    <w:rsid w:val="003E74A0"/>
    <w:rsid w:val="003F6CAC"/>
    <w:rsid w:val="00417264"/>
    <w:rsid w:val="00420F44"/>
    <w:rsid w:val="0043781F"/>
    <w:rsid w:val="00455D27"/>
    <w:rsid w:val="0046506D"/>
    <w:rsid w:val="00487BB8"/>
    <w:rsid w:val="00490703"/>
    <w:rsid w:val="00493E7A"/>
    <w:rsid w:val="004A125B"/>
    <w:rsid w:val="004A4059"/>
    <w:rsid w:val="004C58BD"/>
    <w:rsid w:val="004C5EA3"/>
    <w:rsid w:val="00500C0D"/>
    <w:rsid w:val="005376E5"/>
    <w:rsid w:val="00544DB8"/>
    <w:rsid w:val="005518AF"/>
    <w:rsid w:val="00561636"/>
    <w:rsid w:val="0056798D"/>
    <w:rsid w:val="005748D5"/>
    <w:rsid w:val="005760CD"/>
    <w:rsid w:val="00595B69"/>
    <w:rsid w:val="005A0328"/>
    <w:rsid w:val="005A4BD9"/>
    <w:rsid w:val="005A5DA6"/>
    <w:rsid w:val="005B06CB"/>
    <w:rsid w:val="005C5EE8"/>
    <w:rsid w:val="005F4E8A"/>
    <w:rsid w:val="00624428"/>
    <w:rsid w:val="006601DD"/>
    <w:rsid w:val="006646E9"/>
    <w:rsid w:val="006802F8"/>
    <w:rsid w:val="00695228"/>
    <w:rsid w:val="006C248D"/>
    <w:rsid w:val="00700F5D"/>
    <w:rsid w:val="007031F3"/>
    <w:rsid w:val="0071131D"/>
    <w:rsid w:val="0076726A"/>
    <w:rsid w:val="00771CD2"/>
    <w:rsid w:val="007B6763"/>
    <w:rsid w:val="007B75C9"/>
    <w:rsid w:val="007D31A8"/>
    <w:rsid w:val="007E2D1A"/>
    <w:rsid w:val="007E4BFE"/>
    <w:rsid w:val="007E73EA"/>
    <w:rsid w:val="007F3C4C"/>
    <w:rsid w:val="007F70C9"/>
    <w:rsid w:val="00803E9A"/>
    <w:rsid w:val="00807441"/>
    <w:rsid w:val="00825974"/>
    <w:rsid w:val="00886922"/>
    <w:rsid w:val="008A0D61"/>
    <w:rsid w:val="008B0359"/>
    <w:rsid w:val="008B6F94"/>
    <w:rsid w:val="00905336"/>
    <w:rsid w:val="009101F2"/>
    <w:rsid w:val="0092286D"/>
    <w:rsid w:val="009378C3"/>
    <w:rsid w:val="00956E21"/>
    <w:rsid w:val="009750DD"/>
    <w:rsid w:val="00976190"/>
    <w:rsid w:val="0098423A"/>
    <w:rsid w:val="00990557"/>
    <w:rsid w:val="009A0B60"/>
    <w:rsid w:val="009B5BEF"/>
    <w:rsid w:val="009C0B8F"/>
    <w:rsid w:val="009D1ADB"/>
    <w:rsid w:val="009D75F7"/>
    <w:rsid w:val="009F1314"/>
    <w:rsid w:val="009F13BB"/>
    <w:rsid w:val="009F1704"/>
    <w:rsid w:val="009F212D"/>
    <w:rsid w:val="009F5710"/>
    <w:rsid w:val="00A05092"/>
    <w:rsid w:val="00A22E86"/>
    <w:rsid w:val="00A42805"/>
    <w:rsid w:val="00A43F2B"/>
    <w:rsid w:val="00A50CFB"/>
    <w:rsid w:val="00A50E6E"/>
    <w:rsid w:val="00A659CA"/>
    <w:rsid w:val="00A734EE"/>
    <w:rsid w:val="00A84349"/>
    <w:rsid w:val="00AB26AC"/>
    <w:rsid w:val="00AB74E0"/>
    <w:rsid w:val="00AD5846"/>
    <w:rsid w:val="00AF5B31"/>
    <w:rsid w:val="00B00D00"/>
    <w:rsid w:val="00B044CC"/>
    <w:rsid w:val="00B24709"/>
    <w:rsid w:val="00B51EEC"/>
    <w:rsid w:val="00B66B38"/>
    <w:rsid w:val="00B67354"/>
    <w:rsid w:val="00B87BD6"/>
    <w:rsid w:val="00B909B2"/>
    <w:rsid w:val="00BA0162"/>
    <w:rsid w:val="00BA4480"/>
    <w:rsid w:val="00BA5121"/>
    <w:rsid w:val="00BB59EE"/>
    <w:rsid w:val="00BB68FA"/>
    <w:rsid w:val="00BC3A07"/>
    <w:rsid w:val="00BF26AB"/>
    <w:rsid w:val="00BF6C0A"/>
    <w:rsid w:val="00C83A9A"/>
    <w:rsid w:val="00CC787B"/>
    <w:rsid w:val="00CE3ED8"/>
    <w:rsid w:val="00CF32BB"/>
    <w:rsid w:val="00CF43FC"/>
    <w:rsid w:val="00CF76B7"/>
    <w:rsid w:val="00D032DB"/>
    <w:rsid w:val="00D05B65"/>
    <w:rsid w:val="00D1131E"/>
    <w:rsid w:val="00D14231"/>
    <w:rsid w:val="00D26E56"/>
    <w:rsid w:val="00D312B6"/>
    <w:rsid w:val="00D335C0"/>
    <w:rsid w:val="00DC4C4B"/>
    <w:rsid w:val="00DC5D77"/>
    <w:rsid w:val="00DE7927"/>
    <w:rsid w:val="00DF2A72"/>
    <w:rsid w:val="00DF37C3"/>
    <w:rsid w:val="00DF6A83"/>
    <w:rsid w:val="00E15458"/>
    <w:rsid w:val="00E2605B"/>
    <w:rsid w:val="00E26C98"/>
    <w:rsid w:val="00E332D4"/>
    <w:rsid w:val="00E401BD"/>
    <w:rsid w:val="00E678F7"/>
    <w:rsid w:val="00E97C5F"/>
    <w:rsid w:val="00EA78A9"/>
    <w:rsid w:val="00EC1897"/>
    <w:rsid w:val="00EC55F4"/>
    <w:rsid w:val="00ED3519"/>
    <w:rsid w:val="00F027BE"/>
    <w:rsid w:val="00F15E34"/>
    <w:rsid w:val="00F20D83"/>
    <w:rsid w:val="00F21482"/>
    <w:rsid w:val="00F24769"/>
    <w:rsid w:val="00F26F33"/>
    <w:rsid w:val="00F33B4C"/>
    <w:rsid w:val="00F72995"/>
    <w:rsid w:val="00F87965"/>
    <w:rsid w:val="00F92E43"/>
    <w:rsid w:val="00F969B8"/>
    <w:rsid w:val="00FA7F01"/>
    <w:rsid w:val="00FB1F24"/>
    <w:rsid w:val="00FD4CE8"/>
    <w:rsid w:val="00FD4F38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semiHidden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132D7E"/>
    <w:pPr>
      <w:numPr>
        <w:numId w:val="2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semiHidden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132D7E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1166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vedr</vt:lpstr>
      <vt:lpstr>Notat vedr</vt:lpstr>
    </vt:vector>
  </TitlesOfParts>
  <Company>Statens IT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vedr</dc:title>
  <dc:creator>Thomas Rysgaard</dc:creator>
  <cp:lastModifiedBy>Line Krogh Petersen</cp:lastModifiedBy>
  <cp:revision>16</cp:revision>
  <cp:lastPrinted>2018-10-18T11:49:00Z</cp:lastPrinted>
  <dcterms:created xsi:type="dcterms:W3CDTF">2015-08-20T14:54:00Z</dcterms:created>
  <dcterms:modified xsi:type="dcterms:W3CDTF">2019-07-10T10:38:00Z</dcterms:modified>
</cp:coreProperties>
</file>